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64AFB7">
      <w:pPr>
        <w:rPr>
          <w:rFonts w:hint="eastAsia" w:ascii="黑体" w:hAnsi="黑体" w:eastAsia="黑体"/>
          <w:sz w:val="32"/>
          <w:szCs w:val="32"/>
          <w:lang w:eastAsia="zh-CN"/>
        </w:rPr>
      </w:pPr>
      <w:r>
        <w:rPr>
          <w:rFonts w:ascii="黑体" w:hAnsi="黑体" w:eastAsia="黑体"/>
          <w:sz w:val="32"/>
          <w:szCs w:val="32"/>
        </w:rPr>
        <w:t>附件</w:t>
      </w:r>
      <w:r>
        <w:rPr>
          <w:rFonts w:hint="eastAsia" w:ascii="黑体" w:hAnsi="黑体" w:eastAsia="黑体"/>
          <w:sz w:val="32"/>
          <w:szCs w:val="32"/>
          <w:lang w:val="en-US" w:eastAsia="zh-CN"/>
        </w:rPr>
        <w:t>4</w:t>
      </w:r>
    </w:p>
    <w:p w14:paraId="76D349EF">
      <w:pPr>
        <w:widowControl/>
        <w:numPr>
          <w:ilvl w:val="0"/>
          <w:numId w:val="0"/>
        </w:numPr>
        <w:spacing w:line="560" w:lineRule="exact"/>
        <w:jc w:val="center"/>
        <w:rPr>
          <w:rFonts w:eastAsia="方正小标宋简体"/>
          <w:sz w:val="40"/>
          <w:szCs w:val="40"/>
        </w:rPr>
      </w:pPr>
      <w:bookmarkStart w:id="0" w:name="_GoBack"/>
      <w:bookmarkEnd w:id="0"/>
      <w:r>
        <w:rPr>
          <w:rFonts w:hint="eastAsia" w:eastAsia="方正小标宋简体"/>
          <w:sz w:val="40"/>
          <w:szCs w:val="40"/>
          <w:lang w:eastAsia="zh-CN"/>
        </w:rPr>
        <w:t>河南工业职业技术大学“</w:t>
      </w:r>
      <w:r>
        <w:rPr>
          <w:rFonts w:hint="eastAsia" w:eastAsia="方正小标宋简体"/>
          <w:sz w:val="40"/>
          <w:szCs w:val="40"/>
          <w:lang w:val="en-US" w:eastAsia="zh-CN"/>
        </w:rPr>
        <w:t>金</w:t>
      </w:r>
      <w:r>
        <w:rPr>
          <w:rFonts w:hint="eastAsia" w:eastAsia="方正小标宋简体"/>
          <w:sz w:val="40"/>
          <w:szCs w:val="40"/>
        </w:rPr>
        <w:t>基地</w:t>
      </w:r>
      <w:r>
        <w:rPr>
          <w:rFonts w:hint="eastAsia" w:eastAsia="方正小标宋简体"/>
          <w:sz w:val="40"/>
          <w:szCs w:val="40"/>
          <w:lang w:eastAsia="zh-CN"/>
        </w:rPr>
        <w:t>”</w:t>
      </w:r>
      <w:r>
        <w:rPr>
          <w:rFonts w:hint="eastAsia" w:eastAsia="方正小标宋简体"/>
          <w:sz w:val="40"/>
          <w:szCs w:val="40"/>
          <w:lang w:val="en-US" w:eastAsia="zh-CN"/>
        </w:rPr>
        <w:t>建设标准</w:t>
      </w:r>
    </w:p>
    <w:tbl>
      <w:tblPr>
        <w:tblStyle w:val="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2"/>
        <w:gridCol w:w="1190"/>
        <w:gridCol w:w="7330"/>
      </w:tblGrid>
      <w:tr w14:paraId="5156F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blHeader/>
        </w:trPr>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66E3E">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一级指标</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F8829">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二级指标</w:t>
            </w: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DCE67">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评价标准</w:t>
            </w:r>
          </w:p>
        </w:tc>
      </w:tr>
      <w:tr w14:paraId="7BF97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D54D7">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一、基本条件（20分）</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13F32">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实训场所（3分）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8F57D">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布局科学合理，与现代企业生产服务场景相接近，符合相关建设标准，无安全隐患；有完</w:t>
            </w:r>
            <w:r>
              <w:rPr>
                <w:rFonts w:hint="eastAsia" w:ascii="仿宋_GB2312" w:hAnsi="仿宋_GB2312" w:eastAsia="仿宋_GB2312" w:cs="仿宋_GB2312"/>
                <w:i w:val="0"/>
                <w:iCs w:val="0"/>
                <w:color w:val="000000"/>
                <w:kern w:val="0"/>
                <w:sz w:val="21"/>
                <w:szCs w:val="21"/>
                <w:highlight w:val="none"/>
                <w:u w:val="none"/>
                <w:lang w:val="en-US" w:eastAsia="zh-CN" w:bidi="ar"/>
              </w:rPr>
              <w:t>备的实践教学条件和环境，原则上至少具备30个工位数。（3分）</w:t>
            </w:r>
          </w:p>
        </w:tc>
      </w:tr>
      <w:tr w14:paraId="32F61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DD973">
            <w:pPr>
              <w:jc w:val="center"/>
              <w:rPr>
                <w:rFonts w:hint="eastAsia" w:ascii="仿宋_GB2312" w:hAnsi="仿宋_GB2312" w:eastAsia="仿宋_GB2312" w:cs="仿宋_GB2312"/>
                <w:i w:val="0"/>
                <w:iCs w:val="0"/>
                <w:color w:val="000000"/>
                <w:sz w:val="21"/>
                <w:szCs w:val="21"/>
                <w:u w:val="none"/>
              </w:rPr>
            </w:pPr>
          </w:p>
        </w:tc>
        <w:tc>
          <w:tcPr>
            <w:tcW w:w="6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0F4E3E">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实训设备（6分）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38885">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设备配置合理，种类齐全，数量充足。（2分）</w:t>
            </w:r>
          </w:p>
        </w:tc>
      </w:tr>
      <w:tr w14:paraId="5C0D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7867">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A9BFC">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9344">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达到行业企业前沿技术和新业态所要求的先进水平，并伴随行业企业发展与时俱进地持续更新升级。（2分）</w:t>
            </w:r>
          </w:p>
        </w:tc>
      </w:tr>
      <w:tr w14:paraId="52A71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878E0">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09330">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79D8A">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设备能够满足基本技能训练、专项技能轮岗训练、综合能力顶岗实习等实践教学的需要，满足开展职业培训、技能鉴定和技能竞赛的需要，满足教师为行业企业开展技术服务的需要。（2分）</w:t>
            </w:r>
          </w:p>
        </w:tc>
      </w:tr>
      <w:tr w14:paraId="17BBD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E4D9E">
            <w:pPr>
              <w:jc w:val="center"/>
              <w:rPr>
                <w:rFonts w:hint="eastAsia" w:ascii="仿宋_GB2312" w:hAnsi="仿宋_GB2312" w:eastAsia="仿宋_GB2312" w:cs="仿宋_GB2312"/>
                <w:i w:val="0"/>
                <w:iCs w:val="0"/>
                <w:color w:val="000000"/>
                <w:sz w:val="21"/>
                <w:szCs w:val="21"/>
                <w:u w:val="none"/>
              </w:rPr>
            </w:pPr>
          </w:p>
        </w:tc>
        <w:tc>
          <w:tcPr>
            <w:tcW w:w="618" w:type="pct"/>
            <w:vMerge w:val="restart"/>
            <w:tcBorders>
              <w:top w:val="single" w:color="000000" w:sz="4" w:space="0"/>
              <w:left w:val="single" w:color="000000" w:sz="4" w:space="0"/>
              <w:right w:val="single" w:color="000000" w:sz="4" w:space="0"/>
            </w:tcBorders>
            <w:shd w:val="clear" w:color="auto" w:fill="auto"/>
            <w:vAlign w:val="center"/>
          </w:tcPr>
          <w:p w14:paraId="1F189EBD">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合作企业情况（6分）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160C">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合作企业有较充足的财力、物力、人力，能积极参与基地建设，并在资金、设备、技术、人员、标准等方面有实质性投入或支持。（4分）</w:t>
            </w:r>
          </w:p>
        </w:tc>
      </w:tr>
      <w:tr w14:paraId="7114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E4F0">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left w:val="single" w:color="000000" w:sz="4" w:space="0"/>
              <w:right w:val="single" w:color="000000" w:sz="4" w:space="0"/>
            </w:tcBorders>
            <w:shd w:val="clear" w:color="auto" w:fill="auto"/>
            <w:vAlign w:val="center"/>
          </w:tcPr>
          <w:p w14:paraId="3EC5F734">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FE9F2">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合作企业在本行业或地区具有一定知名度或影响力。（2分）</w:t>
            </w:r>
          </w:p>
        </w:tc>
      </w:tr>
      <w:tr w14:paraId="1ECEE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DBFA">
            <w:pPr>
              <w:jc w:val="center"/>
              <w:rPr>
                <w:rFonts w:hint="eastAsia" w:ascii="仿宋_GB2312" w:hAnsi="仿宋_GB2312" w:eastAsia="仿宋_GB2312" w:cs="仿宋_GB2312"/>
                <w:i w:val="0"/>
                <w:iCs w:val="0"/>
                <w:color w:val="000000"/>
                <w:sz w:val="21"/>
                <w:szCs w:val="21"/>
                <w:u w:val="none"/>
              </w:rPr>
            </w:pPr>
          </w:p>
        </w:tc>
        <w:tc>
          <w:tcPr>
            <w:tcW w:w="6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657FA4">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师资队伍（5分）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5525B">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有相对稳定的实践经验丰富、责任心强的师资队伍，具有较强的信息化教学能力和丰富的教育教学改革经验。（2分）</w:t>
            </w:r>
          </w:p>
        </w:tc>
      </w:tr>
      <w:tr w14:paraId="70711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2FFA">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2E407">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E429E">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团队中有一定数量的行业企业兼职教师。（1分）</w:t>
            </w:r>
          </w:p>
        </w:tc>
      </w:tr>
      <w:tr w14:paraId="72D95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2EC8">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9A2CD">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24CAC">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专任教师均符合“双师型”要求，具有中级专业技术职称或高级工及以上的不少于70%。（2分）</w:t>
            </w:r>
          </w:p>
        </w:tc>
      </w:tr>
      <w:tr w14:paraId="50ACB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restart"/>
            <w:tcBorders>
              <w:top w:val="single" w:color="000000" w:sz="4" w:space="0"/>
              <w:left w:val="single" w:color="000000" w:sz="4" w:space="0"/>
              <w:right w:val="single" w:color="000000" w:sz="4" w:space="0"/>
            </w:tcBorders>
            <w:shd w:val="clear" w:color="auto" w:fill="auto"/>
            <w:noWrap/>
            <w:vAlign w:val="center"/>
          </w:tcPr>
          <w:p w14:paraId="41D73617">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二、基地运行与管理情况（20分）</w:t>
            </w:r>
          </w:p>
        </w:tc>
        <w:tc>
          <w:tcPr>
            <w:tcW w:w="618" w:type="pct"/>
            <w:vMerge w:val="restart"/>
            <w:tcBorders>
              <w:top w:val="single" w:color="000000" w:sz="4" w:space="0"/>
              <w:left w:val="single" w:color="000000" w:sz="4" w:space="0"/>
              <w:right w:val="single" w:color="000000" w:sz="4" w:space="0"/>
            </w:tcBorders>
            <w:shd w:val="clear" w:color="auto" w:fill="auto"/>
            <w:vAlign w:val="center"/>
          </w:tcPr>
          <w:p w14:paraId="295B503C">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基地运行管理科学规范（15分）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BD862">
            <w:pPr>
              <w:keepNext w:val="0"/>
              <w:keepLines w:val="0"/>
              <w:widowControl/>
              <w:suppressLineNumbers w:val="0"/>
              <w:jc w:val="both"/>
              <w:textAlignment w:val="center"/>
              <w:rPr>
                <w:rFonts w:hint="default" w:ascii="仿宋_GB2312" w:hAnsi="仿宋_GB2312" w:eastAsia="仿宋_GB2312" w:cs="仿宋_GB2312"/>
                <w:i w:val="0"/>
                <w:iCs w:val="0"/>
                <w:color w:val="000000"/>
                <w:kern w:val="0"/>
                <w:sz w:val="21"/>
                <w:szCs w:val="21"/>
                <w:u w:val="none"/>
                <w:lang w:val="en-US" w:eastAsia="zh-CN" w:bidi="ar"/>
              </w:rPr>
            </w:pPr>
            <w:r>
              <w:rPr>
                <w:rFonts w:hint="default" w:ascii="仿宋_GB2312" w:hAnsi="仿宋_GB2312" w:eastAsia="仿宋_GB2312" w:cs="仿宋_GB2312"/>
                <w:i w:val="0"/>
                <w:iCs w:val="0"/>
                <w:color w:val="000000"/>
                <w:kern w:val="0"/>
                <w:sz w:val="21"/>
                <w:szCs w:val="21"/>
                <w:u w:val="none"/>
                <w:lang w:val="en-US" w:eastAsia="zh-CN" w:bidi="ar"/>
              </w:rPr>
              <w:t>按照</w:t>
            </w:r>
            <w:r>
              <w:rPr>
                <w:rFonts w:hint="eastAsia" w:ascii="仿宋_GB2312" w:hAnsi="仿宋_GB2312" w:eastAsia="仿宋_GB2312" w:cs="仿宋_GB2312"/>
                <w:i w:val="0"/>
                <w:iCs w:val="0"/>
                <w:color w:val="000000"/>
                <w:kern w:val="0"/>
                <w:sz w:val="21"/>
                <w:szCs w:val="21"/>
                <w:u w:val="none"/>
                <w:lang w:val="en-US" w:eastAsia="zh-CN" w:bidi="ar"/>
              </w:rPr>
              <w:t>申报书</w:t>
            </w:r>
            <w:r>
              <w:rPr>
                <w:rFonts w:hint="default" w:ascii="仿宋_GB2312" w:hAnsi="仿宋_GB2312" w:eastAsia="仿宋_GB2312" w:cs="仿宋_GB2312"/>
                <w:i w:val="0"/>
                <w:iCs w:val="0"/>
                <w:color w:val="000000"/>
                <w:kern w:val="0"/>
                <w:sz w:val="21"/>
                <w:szCs w:val="21"/>
                <w:u w:val="none"/>
                <w:lang w:val="en-US" w:eastAsia="zh-CN" w:bidi="ar"/>
              </w:rPr>
              <w:t>如期完成</w:t>
            </w:r>
            <w:r>
              <w:rPr>
                <w:rFonts w:hint="eastAsia" w:ascii="仿宋_GB2312" w:hAnsi="仿宋_GB2312" w:eastAsia="仿宋_GB2312" w:cs="仿宋_GB2312"/>
                <w:i w:val="0"/>
                <w:iCs w:val="0"/>
                <w:color w:val="000000"/>
                <w:kern w:val="0"/>
                <w:sz w:val="21"/>
                <w:szCs w:val="21"/>
                <w:u w:val="none"/>
                <w:lang w:val="en-US" w:eastAsia="zh-CN" w:bidi="ar"/>
              </w:rPr>
              <w:t>所有</w:t>
            </w:r>
            <w:r>
              <w:rPr>
                <w:rFonts w:hint="default" w:ascii="仿宋_GB2312" w:hAnsi="仿宋_GB2312" w:eastAsia="仿宋_GB2312" w:cs="仿宋_GB2312"/>
                <w:i w:val="0"/>
                <w:iCs w:val="0"/>
                <w:color w:val="000000"/>
                <w:kern w:val="0"/>
                <w:sz w:val="21"/>
                <w:szCs w:val="21"/>
                <w:u w:val="none"/>
                <w:lang w:val="en-US" w:eastAsia="zh-CN" w:bidi="ar"/>
              </w:rPr>
              <w:t>建设任务</w:t>
            </w:r>
            <w:r>
              <w:rPr>
                <w:rFonts w:hint="eastAsia" w:ascii="仿宋_GB2312" w:hAnsi="仿宋_GB2312" w:eastAsia="仿宋_GB2312" w:cs="仿宋_GB2312"/>
                <w:i w:val="0"/>
                <w:iCs w:val="0"/>
                <w:color w:val="000000"/>
                <w:kern w:val="0"/>
                <w:sz w:val="21"/>
                <w:szCs w:val="21"/>
                <w:u w:val="none"/>
                <w:lang w:val="en-US" w:eastAsia="zh-CN" w:bidi="ar"/>
              </w:rPr>
              <w:t>。（5分）</w:t>
            </w:r>
          </w:p>
        </w:tc>
      </w:tr>
      <w:tr w14:paraId="6E1A2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left w:val="single" w:color="000000" w:sz="4" w:space="0"/>
              <w:right w:val="single" w:color="000000" w:sz="4" w:space="0"/>
            </w:tcBorders>
            <w:shd w:val="clear" w:color="auto" w:fill="auto"/>
            <w:noWrap/>
            <w:vAlign w:val="center"/>
          </w:tcPr>
          <w:p w14:paraId="57352675">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p>
        </w:tc>
        <w:tc>
          <w:tcPr>
            <w:tcW w:w="618" w:type="pct"/>
            <w:vMerge w:val="continue"/>
            <w:tcBorders>
              <w:left w:val="single" w:color="000000" w:sz="4" w:space="0"/>
              <w:right w:val="single" w:color="000000" w:sz="4" w:space="0"/>
            </w:tcBorders>
            <w:shd w:val="clear" w:color="auto" w:fill="auto"/>
            <w:vAlign w:val="center"/>
          </w:tcPr>
          <w:p w14:paraId="636FFE71">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C4D5C">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有科学合理的基地建设规划、建设方案和保障措施，岗位职责清晰，经费专款专用。（5分）</w:t>
            </w:r>
          </w:p>
        </w:tc>
      </w:tr>
      <w:tr w14:paraId="627AD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left w:val="single" w:color="000000" w:sz="4" w:space="0"/>
              <w:right w:val="single" w:color="000000" w:sz="4" w:space="0"/>
            </w:tcBorders>
            <w:shd w:val="clear" w:color="auto" w:fill="auto"/>
            <w:noWrap/>
            <w:vAlign w:val="center"/>
          </w:tcPr>
          <w:p w14:paraId="73303B3A">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left w:val="single" w:color="000000" w:sz="4" w:space="0"/>
              <w:bottom w:val="single" w:color="000000" w:sz="4" w:space="0"/>
              <w:right w:val="single" w:color="000000" w:sz="4" w:space="0"/>
            </w:tcBorders>
            <w:shd w:val="clear" w:color="auto" w:fill="auto"/>
            <w:vAlign w:val="center"/>
          </w:tcPr>
          <w:p w14:paraId="66434822">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B3E1D">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基地内部管理制度健全，有健全的组织管理体系，管理运行规范（5分）；</w:t>
            </w:r>
          </w:p>
        </w:tc>
      </w:tr>
      <w:tr w14:paraId="1A579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left w:val="single" w:color="000000" w:sz="4" w:space="0"/>
              <w:bottom w:val="single" w:color="000000" w:sz="4" w:space="0"/>
              <w:right w:val="single" w:color="000000" w:sz="4" w:space="0"/>
            </w:tcBorders>
            <w:shd w:val="clear" w:color="auto" w:fill="auto"/>
            <w:noWrap/>
            <w:vAlign w:val="center"/>
          </w:tcPr>
          <w:p w14:paraId="30FE3BEF">
            <w:pPr>
              <w:jc w:val="center"/>
              <w:rPr>
                <w:rFonts w:hint="eastAsia" w:ascii="仿宋_GB2312" w:hAnsi="仿宋_GB2312" w:eastAsia="仿宋_GB2312" w:cs="仿宋_GB2312"/>
                <w:i w:val="0"/>
                <w:iCs w:val="0"/>
                <w:color w:val="000000"/>
                <w:sz w:val="21"/>
                <w:szCs w:val="21"/>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A8332">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校企共建情况（5分）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74EC5">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形成了校企合作的长效机制，与行业企业建立长期稳定的紧密型合作关系并开展全面、深入的合作。（5分）</w:t>
            </w:r>
          </w:p>
        </w:tc>
      </w:tr>
      <w:tr w14:paraId="418A2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E37E06">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三、基地实践教学开展情况及成效（30分）</w:t>
            </w:r>
          </w:p>
        </w:tc>
        <w:tc>
          <w:tcPr>
            <w:tcW w:w="6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3ED7B6">
            <w:pPr>
              <w:keepNext w:val="0"/>
              <w:keepLines w:val="0"/>
              <w:widowControl/>
              <w:suppressLineNumbers w:val="0"/>
              <w:jc w:val="left"/>
              <w:textAlignment w:val="center"/>
              <w:rPr>
                <w:rFonts w:hint="default" w:ascii="仿宋_GB2312" w:hAnsi="仿宋_GB2312" w:eastAsia="仿宋_GB2312" w:cs="仿宋_GB2312"/>
                <w:i w:val="0"/>
                <w:iCs w:val="0"/>
                <w:color w:val="000000"/>
                <w:sz w:val="21"/>
                <w:szCs w:val="21"/>
                <w:u w:val="none"/>
                <w:lang w:val="en-US"/>
              </w:rPr>
            </w:pPr>
            <w:r>
              <w:rPr>
                <w:rFonts w:hint="eastAsia" w:ascii="仿宋_GB2312" w:hAnsi="仿宋_GB2312" w:eastAsia="仿宋_GB2312" w:cs="仿宋_GB2312"/>
                <w:i w:val="0"/>
                <w:iCs w:val="0"/>
                <w:color w:val="000000"/>
                <w:kern w:val="0"/>
                <w:sz w:val="21"/>
                <w:szCs w:val="21"/>
                <w:u w:val="none"/>
                <w:lang w:val="en-US" w:eastAsia="zh-CN" w:bidi="ar"/>
              </w:rPr>
              <w:t xml:space="preserve">实践教学开展（15分） </w:t>
            </w: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5C42">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每学期连续承担学校实践教学任务。（4分）</w:t>
            </w:r>
          </w:p>
        </w:tc>
      </w:tr>
      <w:tr w14:paraId="707CC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BD22C">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AEEDB">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2D22">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实训（实习）项目设置契合行业生产实际，具有先进性、科学性、实战性，实习（实训）计划安排科学合理，组织严密。（6分）</w:t>
            </w:r>
          </w:p>
        </w:tc>
      </w:tr>
      <w:tr w14:paraId="2F1F4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57827">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1FE1A">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E039">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有实训（实习）教学质量监控和评价制度，运行机制良好。（5分）</w:t>
            </w:r>
          </w:p>
        </w:tc>
      </w:tr>
      <w:tr w14:paraId="2FDE8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300EB">
            <w:pPr>
              <w:jc w:val="center"/>
              <w:rPr>
                <w:rFonts w:hint="eastAsia" w:ascii="仿宋_GB2312" w:hAnsi="仿宋_GB2312" w:eastAsia="仿宋_GB2312" w:cs="仿宋_GB2312"/>
                <w:i w:val="0"/>
                <w:iCs w:val="0"/>
                <w:color w:val="000000"/>
                <w:sz w:val="21"/>
                <w:szCs w:val="21"/>
                <w:u w:val="none"/>
              </w:rPr>
            </w:pPr>
          </w:p>
        </w:tc>
        <w:tc>
          <w:tcPr>
            <w:tcW w:w="6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15FA9">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实践教学成效（15分）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6B45">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实践教学资源丰富，满足实践教学需要。（3分）</w:t>
            </w:r>
          </w:p>
        </w:tc>
      </w:tr>
      <w:tr w14:paraId="2C936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22527">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65D6C">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9F86">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实训教材体现职业标准，形式多样化，反映新技术、新工艺、新理念。（3分）</w:t>
            </w:r>
          </w:p>
        </w:tc>
      </w:tr>
      <w:tr w14:paraId="0E1EC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A9A70">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D2D91">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C915">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建有与实训内容相配套的信息化教学资源库，积极探索线上线下教学相结合的个性化、智能化、泛在化实训教学新模式。（2分）</w:t>
            </w:r>
          </w:p>
        </w:tc>
      </w:tr>
      <w:tr w14:paraId="3BCA7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BFFB4">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3DB0F">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7D999">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实训教学效果显著，师生受益面大。学生兴趣浓厚，自主学习能力明显增强，实践创新能力明显提高。（3分）</w:t>
            </w:r>
          </w:p>
        </w:tc>
      </w:tr>
      <w:tr w14:paraId="08ADE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97C68">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42FA2">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3932">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通过开展在线教学服务或技术支持等，积极发挥对实践教学信息化建设的示范引领作用。（2分）</w:t>
            </w:r>
          </w:p>
        </w:tc>
      </w:tr>
      <w:tr w14:paraId="72AB2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681C6">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263E1">
            <w:pPr>
              <w:jc w:val="left"/>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2898E">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教学过程中未出现教学事故，无失信记录和违反安全生产相关法律法规情况。（2分）</w:t>
            </w:r>
          </w:p>
        </w:tc>
      </w:tr>
      <w:tr w14:paraId="43158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572" w:type="pct"/>
            <w:vMerge w:val="restart"/>
            <w:tcBorders>
              <w:top w:val="single" w:color="000000" w:sz="4" w:space="0"/>
              <w:left w:val="single" w:color="000000" w:sz="4" w:space="0"/>
              <w:right w:val="single" w:color="000000" w:sz="4" w:space="0"/>
            </w:tcBorders>
            <w:shd w:val="clear" w:color="auto" w:fill="auto"/>
            <w:vAlign w:val="center"/>
          </w:tcPr>
          <w:p w14:paraId="7767E3EA">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四、教育教学改革和社会效益（30分）</w:t>
            </w:r>
          </w:p>
        </w:tc>
        <w:tc>
          <w:tcPr>
            <w:tcW w:w="6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75D1DC">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教育教学改革（10分）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01CF4">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有先进的实践教学理念，符合教育教学规律和实践教学要求，能以职业岗位群和专业技术领域要求为重点，推动有关专业积极探索任务驱动、项目导向等有利于增强学生实践动手能力的教学做一体化教学模式改革。（5分）</w:t>
            </w:r>
          </w:p>
        </w:tc>
      </w:tr>
      <w:tr w14:paraId="0628F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left w:val="single" w:color="000000" w:sz="4" w:space="0"/>
              <w:right w:val="single" w:color="000000" w:sz="4" w:space="0"/>
            </w:tcBorders>
            <w:shd w:val="clear" w:color="auto" w:fill="auto"/>
            <w:vAlign w:val="center"/>
          </w:tcPr>
          <w:p w14:paraId="474636DE">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16773">
            <w:pPr>
              <w:jc w:val="center"/>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14532">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基地能深度参与专业建设，合作开发特色课程，参与修订专业人才培养方案修订、课程大纲等环节，共同开展相关课程评价、技能竞赛训练等（5分）；</w:t>
            </w:r>
          </w:p>
        </w:tc>
      </w:tr>
      <w:tr w14:paraId="1C9B4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left w:val="single" w:color="000000" w:sz="4" w:space="0"/>
              <w:right w:val="single" w:color="000000" w:sz="4" w:space="0"/>
            </w:tcBorders>
            <w:shd w:val="clear" w:color="auto" w:fill="auto"/>
            <w:vAlign w:val="center"/>
          </w:tcPr>
          <w:p w14:paraId="4ABEE0A7">
            <w:pPr>
              <w:jc w:val="center"/>
              <w:rPr>
                <w:rFonts w:hint="eastAsia" w:ascii="仿宋_GB2312" w:hAnsi="仿宋_GB2312" w:eastAsia="仿宋_GB2312" w:cs="仿宋_GB2312"/>
                <w:i w:val="0"/>
                <w:iCs w:val="0"/>
                <w:color w:val="000000"/>
                <w:sz w:val="21"/>
                <w:szCs w:val="21"/>
                <w:u w:val="none"/>
              </w:rPr>
            </w:pPr>
          </w:p>
        </w:tc>
        <w:tc>
          <w:tcPr>
            <w:tcW w:w="618" w:type="pct"/>
            <w:vMerge w:val="restart"/>
            <w:tcBorders>
              <w:top w:val="single" w:color="000000" w:sz="4" w:space="0"/>
              <w:left w:val="single" w:color="000000" w:sz="4" w:space="0"/>
              <w:right w:val="single" w:color="000000" w:sz="4" w:space="0"/>
            </w:tcBorders>
            <w:shd w:val="clear" w:color="auto" w:fill="auto"/>
            <w:vAlign w:val="center"/>
          </w:tcPr>
          <w:p w14:paraId="3532FE60">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社会效益（20分）</w:t>
            </w: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D3F2F">
            <w:pPr>
              <w:keepNext w:val="0"/>
              <w:keepLines w:val="0"/>
              <w:widowControl/>
              <w:suppressLineNumbers w:val="0"/>
              <w:jc w:val="both"/>
              <w:textAlignment w:val="center"/>
              <w:rPr>
                <w:rFonts w:hint="default" w:ascii="仿宋_GB2312" w:hAnsi="仿宋_GB2312" w:eastAsia="仿宋_GB2312" w:cs="仿宋_GB2312"/>
                <w:i w:val="0"/>
                <w:iCs w:val="0"/>
                <w:color w:val="000000"/>
                <w:sz w:val="21"/>
                <w:szCs w:val="21"/>
                <w:u w:val="none"/>
                <w:lang w:val="en-US"/>
              </w:rPr>
            </w:pPr>
            <w:r>
              <w:rPr>
                <w:rFonts w:hint="eastAsia" w:ascii="仿宋_GB2312" w:hAnsi="仿宋_GB2312" w:eastAsia="仿宋_GB2312" w:cs="仿宋_GB2312"/>
                <w:i w:val="0"/>
                <w:iCs w:val="0"/>
                <w:color w:val="000000"/>
                <w:kern w:val="0"/>
                <w:sz w:val="21"/>
                <w:szCs w:val="21"/>
                <w:u w:val="none"/>
                <w:lang w:val="en-US" w:eastAsia="zh-CN" w:bidi="ar"/>
              </w:rPr>
              <w:t>能面向社会积极开展技能鉴定、社会培训、科普教育和公益活动等。（6分）</w:t>
            </w:r>
          </w:p>
        </w:tc>
      </w:tr>
      <w:tr w14:paraId="0FA2A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72" w:type="pct"/>
            <w:vMerge w:val="continue"/>
            <w:tcBorders>
              <w:left w:val="single" w:color="000000" w:sz="4" w:space="0"/>
              <w:right w:val="single" w:color="000000" w:sz="4" w:space="0"/>
            </w:tcBorders>
            <w:shd w:val="clear" w:color="auto" w:fill="auto"/>
            <w:vAlign w:val="center"/>
          </w:tcPr>
          <w:p w14:paraId="417F340F">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left w:val="single" w:color="000000" w:sz="4" w:space="0"/>
              <w:right w:val="single" w:color="000000" w:sz="4" w:space="0"/>
            </w:tcBorders>
            <w:shd w:val="clear" w:color="auto" w:fill="auto"/>
            <w:vAlign w:val="center"/>
          </w:tcPr>
          <w:p w14:paraId="5A9A5E8E">
            <w:pPr>
              <w:jc w:val="center"/>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FB97">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能广泛开展项目合作、技术服务、成果转化，有代表性成果。（6分）</w:t>
            </w:r>
          </w:p>
        </w:tc>
      </w:tr>
      <w:tr w14:paraId="6D0EC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left w:val="single" w:color="000000" w:sz="4" w:space="0"/>
              <w:right w:val="single" w:color="000000" w:sz="4" w:space="0"/>
            </w:tcBorders>
            <w:shd w:val="clear" w:color="auto" w:fill="auto"/>
            <w:vAlign w:val="center"/>
          </w:tcPr>
          <w:p w14:paraId="77EB30BE">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left w:val="single" w:color="000000" w:sz="4" w:space="0"/>
              <w:right w:val="single" w:color="000000" w:sz="4" w:space="0"/>
            </w:tcBorders>
            <w:shd w:val="clear" w:color="auto" w:fill="auto"/>
            <w:vAlign w:val="center"/>
          </w:tcPr>
          <w:p w14:paraId="1DDE8096">
            <w:pPr>
              <w:jc w:val="center"/>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5A2EB">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能在区域内发挥较好的行业产业带动作用。（4分）</w:t>
            </w:r>
          </w:p>
        </w:tc>
      </w:tr>
      <w:tr w14:paraId="6A657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72" w:type="pct"/>
            <w:vMerge w:val="continue"/>
            <w:tcBorders>
              <w:left w:val="single" w:color="000000" w:sz="4" w:space="0"/>
              <w:bottom w:val="single" w:color="000000" w:sz="4" w:space="0"/>
              <w:right w:val="single" w:color="000000" w:sz="4" w:space="0"/>
            </w:tcBorders>
            <w:shd w:val="clear" w:color="auto" w:fill="auto"/>
            <w:vAlign w:val="center"/>
          </w:tcPr>
          <w:p w14:paraId="70597267">
            <w:pPr>
              <w:jc w:val="center"/>
              <w:rPr>
                <w:rFonts w:hint="eastAsia" w:ascii="仿宋_GB2312" w:hAnsi="仿宋_GB2312" w:eastAsia="仿宋_GB2312" w:cs="仿宋_GB2312"/>
                <w:i w:val="0"/>
                <w:iCs w:val="0"/>
                <w:color w:val="000000"/>
                <w:sz w:val="21"/>
                <w:szCs w:val="21"/>
                <w:u w:val="none"/>
              </w:rPr>
            </w:pPr>
          </w:p>
        </w:tc>
        <w:tc>
          <w:tcPr>
            <w:tcW w:w="618" w:type="pct"/>
            <w:vMerge w:val="continue"/>
            <w:tcBorders>
              <w:left w:val="single" w:color="000000" w:sz="4" w:space="0"/>
              <w:bottom w:val="single" w:color="000000" w:sz="4" w:space="0"/>
              <w:right w:val="single" w:color="000000" w:sz="4" w:space="0"/>
            </w:tcBorders>
            <w:shd w:val="clear" w:color="auto" w:fill="auto"/>
            <w:vAlign w:val="center"/>
          </w:tcPr>
          <w:p w14:paraId="31125403">
            <w:pPr>
              <w:jc w:val="center"/>
              <w:rPr>
                <w:rFonts w:hint="eastAsia" w:ascii="仿宋_GB2312" w:hAnsi="仿宋_GB2312" w:eastAsia="仿宋_GB2312" w:cs="仿宋_GB2312"/>
                <w:i w:val="0"/>
                <w:iCs w:val="0"/>
                <w:color w:val="000000"/>
                <w:sz w:val="21"/>
                <w:szCs w:val="21"/>
                <w:u w:val="none"/>
              </w:rPr>
            </w:pPr>
          </w:p>
        </w:tc>
        <w:tc>
          <w:tcPr>
            <w:tcW w:w="3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950C2">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基地实践教学效果好，特色突出，受益面广，建设经验和建设模式具有推广和应用价值（4分）。</w:t>
            </w:r>
          </w:p>
        </w:tc>
      </w:tr>
    </w:tbl>
    <w:p w14:paraId="5CDCA28D">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sectPr>
      <w:pgSz w:w="12240" w:h="15840"/>
      <w:pgMar w:top="1440" w:right="1417" w:bottom="1440" w:left="1417" w:header="720" w:footer="720"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0ODA1YWUxOTVjZjk3NjM3MDQ5ZmUyYjIwMzNmZGUifQ=="/>
  </w:docVars>
  <w:rsids>
    <w:rsidRoot w:val="00172A27"/>
    <w:rsid w:val="029470C3"/>
    <w:rsid w:val="04380AA0"/>
    <w:rsid w:val="0B161F7E"/>
    <w:rsid w:val="0D892662"/>
    <w:rsid w:val="11D560AA"/>
    <w:rsid w:val="13616A04"/>
    <w:rsid w:val="171A1490"/>
    <w:rsid w:val="19C74621"/>
    <w:rsid w:val="1CF87735"/>
    <w:rsid w:val="216642D9"/>
    <w:rsid w:val="233C6E9A"/>
    <w:rsid w:val="235E3597"/>
    <w:rsid w:val="2B5869C9"/>
    <w:rsid w:val="2C2075A9"/>
    <w:rsid w:val="2F5374F6"/>
    <w:rsid w:val="35857FC1"/>
    <w:rsid w:val="361C3A49"/>
    <w:rsid w:val="36FC3E9C"/>
    <w:rsid w:val="402B68B8"/>
    <w:rsid w:val="40AE02E3"/>
    <w:rsid w:val="41F23A71"/>
    <w:rsid w:val="45A100BA"/>
    <w:rsid w:val="485D43CE"/>
    <w:rsid w:val="49F26992"/>
    <w:rsid w:val="54DC110F"/>
    <w:rsid w:val="56680EAC"/>
    <w:rsid w:val="58062A48"/>
    <w:rsid w:val="5A831E7F"/>
    <w:rsid w:val="5C086CF5"/>
    <w:rsid w:val="5DDB5E6E"/>
    <w:rsid w:val="61320103"/>
    <w:rsid w:val="61776447"/>
    <w:rsid w:val="648F303E"/>
    <w:rsid w:val="66597D82"/>
    <w:rsid w:val="67035656"/>
    <w:rsid w:val="699F5D97"/>
    <w:rsid w:val="74D70440"/>
    <w:rsid w:val="759400C1"/>
    <w:rsid w:val="75E36310"/>
    <w:rsid w:val="7AC810FF"/>
    <w:rsid w:val="7DF56711"/>
    <w:rsid w:val="7E33EA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eastAsia="宋体" w:asciiTheme="minorHAnsi" w:hAnsiTheme="minorHAnsi" w:cstheme="minorBidi"/>
      <w:kern w:val="2"/>
      <w:sz w:val="21"/>
    </w:rPr>
  </w:style>
  <w:style w:type="paragraph" w:styleId="6">
    <w:name w:val="heading 1"/>
    <w:basedOn w:val="1"/>
    <w:next w:val="1"/>
    <w:qFormat/>
    <w:uiPriority w:val="0"/>
    <w:pPr>
      <w:keepNext/>
      <w:keepLines/>
      <w:spacing w:before="340" w:after="330" w:line="578" w:lineRule="auto"/>
      <w:outlineLvl w:val="0"/>
    </w:pPr>
    <w:rPr>
      <w:b/>
      <w:bCs/>
      <w:kern w:val="44"/>
      <w:sz w:val="44"/>
      <w:szCs w:val="44"/>
    </w:rPr>
  </w:style>
  <w:style w:type="paragraph" w:styleId="7">
    <w:name w:val="heading 3"/>
    <w:basedOn w:val="1"/>
    <w:next w:val="1"/>
    <w:qFormat/>
    <w:uiPriority w:val="0"/>
    <w:pPr>
      <w:keepNext w:val="0"/>
      <w:spacing w:before="240" w:after="240"/>
      <w:outlineLvl w:val="2"/>
    </w:pPr>
    <w:rPr>
      <w:rFonts w:cs="仿宋_GB2312"/>
      <w:b/>
      <w:bCs/>
      <w:szCs w:val="3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1"/>
    <w:qFormat/>
    <w:uiPriority w:val="0"/>
    <w:pPr>
      <w:spacing w:after="120"/>
      <w:ind w:left="420" w:leftChars="200"/>
    </w:pPr>
  </w:style>
  <w:style w:type="paragraph" w:styleId="4">
    <w:name w:val="Body Text First Indent"/>
    <w:basedOn w:val="5"/>
    <w:next w:val="2"/>
    <w:qFormat/>
    <w:uiPriority w:val="0"/>
    <w:pPr>
      <w:ind w:firstLine="640"/>
    </w:pPr>
  </w:style>
  <w:style w:type="paragraph" w:styleId="5">
    <w:name w:val="Body Text"/>
    <w:basedOn w:val="1"/>
    <w:next w:val="2"/>
    <w:qFormat/>
    <w:uiPriority w:val="0"/>
    <w:pPr>
      <w:spacing w:before="100" w:beforeAutospacing="1" w:after="100" w:afterAutospacing="1"/>
      <w:outlineLvl w:val="3"/>
    </w:pPr>
    <w:rPr>
      <w:rFonts w:eastAsia="仿宋_GB2312"/>
      <w:color w:val="000000"/>
      <w:sz w:val="32"/>
      <w:szCs w:val="21"/>
    </w:r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1405</Words>
  <Characters>1417</Characters>
  <Lines>0</Lines>
  <Paragraphs>0</Paragraphs>
  <TotalTime>1</TotalTime>
  <ScaleCrop>false</ScaleCrop>
  <LinksUpToDate>false</LinksUpToDate>
  <CharactersWithSpaces>1418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bnu19</dc:creator>
  <cp:lastModifiedBy>流火与蔷薇河</cp:lastModifiedBy>
  <dcterms:modified xsi:type="dcterms:W3CDTF">2026-06-25T00:39:15Z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B4FE1518A7084F9B8895425496654253_13</vt:lpwstr>
  </property>
  <property fmtid="{D5CDD505-2E9C-101B-9397-08002B2CF9AE}" pid="4" name="KSOTemplateDocerSaveRecord">
    <vt:lpwstr>eyJoZGlkIjoiOTllMGU4MmU4Y2JkZDE1NTBiZmU0MjkzM2MyMzQyMTEiLCJ1c2VySWQiOiI2MDA0MzgyMTgifQ==</vt:lpwstr>
  </property>
</Properties>
</file>